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4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Додаток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4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до Розпорядження проректора з наукової роботи від 1 червня 2020 р. № 5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6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ІНФОРМАЦІЙНИЙ ЗВІТ</w:t>
        <w:br/>
      </w:r>
      <w:r>
        <w:rPr>
          <w:rStyle w:val="CharStyle8"/>
        </w:rPr>
        <w:t>про хід виконання держбюджетної теми станом на 26 червня 2020 р.</w:t>
      </w:r>
    </w:p>
    <w:p>
      <w:pPr>
        <w:pStyle w:val="Style9"/>
        <w:framePr w:w="1040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Шифр, назва теми:</w:t>
      </w:r>
    </w:p>
    <w:tbl>
      <w:tblPr>
        <w:tblOverlap w:val="never"/>
        <w:tblLayout w:type="fixed"/>
        <w:jc w:val="center"/>
      </w:tblPr>
      <w:tblGrid>
        <w:gridCol w:w="446"/>
        <w:gridCol w:w="4810"/>
        <w:gridCol w:w="5150"/>
      </w:tblGrid>
      <w:tr>
        <w:trPr>
          <w:trHeight w:val="23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Обсяг фінансування на 2020 рік: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Термін виконання з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40" w:right="0" w:firstLine="0"/>
            </w:pPr>
            <w:r>
              <w:rPr>
                <w:rStyle w:val="CharStyle13"/>
              </w:rPr>
              <w:t>по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Науковий керівник: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Виконавці: штатні співробітники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40" w:right="0" w:firstLine="0"/>
            </w:pPr>
            <w:r>
              <w:rPr>
                <w:rStyle w:val="CharStyle13"/>
              </w:rPr>
              <w:t>(всього / доктори наук, кандидати наук),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80" w:right="0" w:firstLine="0"/>
            </w:pPr>
            <w:r>
              <w:rPr>
                <w:rStyle w:val="CharStyle13"/>
              </w:rPr>
              <w:t>сумісники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(всього / доктори наук, кандидати наук).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4.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13"/>
              </w:rPr>
              <w:t xml:space="preserve">Результативні показники </w:t>
            </w:r>
            <w:r>
              <w:rPr>
                <w:rStyle w:val="CharStyle14"/>
              </w:rPr>
              <w:t xml:space="preserve">за етап </w:t>
            </w:r>
            <w:r>
              <w:rPr>
                <w:rStyle w:val="CharStyle13"/>
              </w:rPr>
              <w:t>з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40" w:right="0" w:firstLine="0"/>
            </w:pPr>
            <w:r>
              <w:rPr>
                <w:rStyle w:val="CharStyle13"/>
              </w:rPr>
              <w:t>по</w:t>
            </w:r>
          </w:p>
        </w:tc>
      </w:tr>
    </w:tbl>
    <w:p>
      <w:pPr>
        <w:framePr w:w="1040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64"/>
        <w:gridCol w:w="7608"/>
        <w:gridCol w:w="1435"/>
        <w:gridCol w:w="116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10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160" w:right="0" w:firstLine="0"/>
            </w:pPr>
            <w:r>
              <w:rPr>
                <w:rStyle w:val="CharStyle13"/>
              </w:rPr>
              <w:t>Номер</w:t>
            </w:r>
          </w:p>
          <w:p>
            <w:pPr>
              <w:pStyle w:val="Style11"/>
              <w:framePr w:w="110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160" w:right="0" w:firstLine="0"/>
            </w:pPr>
            <w:r>
              <w:rPr>
                <w:rStyle w:val="CharStyle13"/>
              </w:rPr>
              <w:t>етапу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10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Назва етапу згідно з Технічним завданням. Показники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10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360" w:right="0" w:hanging="200"/>
            </w:pPr>
            <w:r>
              <w:rPr>
                <w:rStyle w:val="CharStyle13"/>
              </w:rPr>
              <w:t>Заплановано за етап, кількість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10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13"/>
              </w:rPr>
              <w:t>Виконано за етап, кількість</w:t>
            </w:r>
          </w:p>
        </w:tc>
      </w:tr>
      <w:tr>
        <w:trPr>
          <w:trHeight w:val="967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10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numPr>
                <w:ilvl w:val="0"/>
                <w:numId w:val="1"/>
              </w:numPr>
              <w:framePr w:w="11069" w:wrap="notBeside" w:vAnchor="text" w:hAnchor="text" w:xAlign="center" w:y="1"/>
              <w:tabs>
                <w:tab w:leader="none" w:pos="-15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hanging="500"/>
            </w:pPr>
            <w:r>
              <w:rPr>
                <w:rStyle w:val="CharStyle14"/>
              </w:rPr>
              <w:t>Публікації виконавців за тематикою НДР (перелік додається):</w:t>
            </w:r>
          </w:p>
          <w:p>
            <w:pPr>
              <w:pStyle w:val="Style11"/>
              <w:numPr>
                <w:ilvl w:val="1"/>
                <w:numId w:val="1"/>
              </w:numPr>
              <w:framePr w:w="11069" w:wrap="notBeside" w:vAnchor="text" w:hAnchor="text" w:xAlign="center" w:y="1"/>
              <w:tabs>
                <w:tab w:leader="none" w:pos="-10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hanging="500"/>
            </w:pPr>
            <w:r>
              <w:rPr>
                <w:rStyle w:val="CharStyle13"/>
              </w:rPr>
              <w:t>Монографії, опубліковані у закордонних видавництвах офіційними мовами Європейського Союзу (друк. арк.).</w:t>
            </w:r>
          </w:p>
          <w:p>
            <w:pPr>
              <w:pStyle w:val="Style11"/>
              <w:numPr>
                <w:ilvl w:val="1"/>
                <w:numId w:val="1"/>
              </w:numPr>
              <w:framePr w:w="11069" w:wrap="notBeside" w:vAnchor="text" w:hAnchor="text" w:xAlign="center" w:y="1"/>
              <w:tabs>
                <w:tab w:leader="none" w:pos="-10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hanging="500"/>
            </w:pPr>
            <w:r>
              <w:rPr>
                <w:rStyle w:val="CharStyle13"/>
              </w:rPr>
              <w:t>Розділи монографій, опубліковані у закордонних видавництвах офіційними мовами Європейського Союзу (від 3 друк. арк.).</w:t>
            </w:r>
          </w:p>
          <w:p>
            <w:pPr>
              <w:pStyle w:val="Style11"/>
              <w:numPr>
                <w:ilvl w:val="1"/>
                <w:numId w:val="1"/>
              </w:numPr>
              <w:framePr w:w="11069" w:wrap="notBeside" w:vAnchor="text" w:hAnchor="text" w:xAlign="center" w:y="1"/>
              <w:tabs>
                <w:tab w:leader="none" w:pos="-10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hanging="500"/>
            </w:pPr>
            <w:r>
              <w:rPr>
                <w:rStyle w:val="CharStyle13"/>
              </w:rPr>
              <w:t>Монографії, опубліковані мовами, які не відносяться до мов Європейського Союзу (друк. арк.).</w:t>
            </w:r>
          </w:p>
          <w:p>
            <w:pPr>
              <w:pStyle w:val="Style11"/>
              <w:numPr>
                <w:ilvl w:val="1"/>
                <w:numId w:val="1"/>
              </w:numPr>
              <w:framePr w:w="11069" w:wrap="notBeside" w:vAnchor="text" w:hAnchor="text" w:xAlign="center" w:y="1"/>
              <w:tabs>
                <w:tab w:leader="none" w:pos="-11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hanging="500"/>
            </w:pPr>
            <w:r>
              <w:rPr>
                <w:rStyle w:val="CharStyle13"/>
              </w:rPr>
              <w:t xml:space="preserve">Статті у журналах, що входять до науково-метричних баз даних </w:t>
            </w:r>
            <w:r>
              <w:rPr>
                <w:rStyle w:val="CharStyle13"/>
                <w:lang w:val="en-US" w:eastAsia="en-US" w:bidi="en-US"/>
              </w:rPr>
              <w:t xml:space="preserve">WoS </w:t>
            </w:r>
            <w:r>
              <w:rPr>
                <w:rStyle w:val="CharStyle13"/>
              </w:rPr>
              <w:t xml:space="preserve">та/або </w:t>
            </w:r>
            <w:r>
              <w:rPr>
                <w:rStyle w:val="CharStyle13"/>
                <w:lang w:val="en-US" w:eastAsia="en-US" w:bidi="en-US"/>
              </w:rPr>
              <w:t xml:space="preserve">Scopus </w:t>
            </w:r>
            <w:r>
              <w:rPr>
                <w:rStyle w:val="CharStyle13"/>
              </w:rPr>
              <w:t xml:space="preserve">з індексом </w:t>
            </w:r>
            <w:r>
              <w:rPr>
                <w:rStyle w:val="CharStyle13"/>
                <w:lang w:val="en-US" w:eastAsia="en-US" w:bidi="en-US"/>
              </w:rPr>
              <w:t xml:space="preserve">SNIP </w:t>
            </w:r>
            <w:r>
              <w:rPr>
                <w:rStyle w:val="CharStyle14"/>
              </w:rPr>
              <w:t xml:space="preserve">&gt; </w:t>
            </w:r>
            <w:r>
              <w:rPr>
                <w:rStyle w:val="CharStyle13"/>
              </w:rPr>
              <w:t xml:space="preserve">0,4 (для соціо-гуманітарних наук з індексом </w:t>
            </w:r>
            <w:r>
              <w:rPr>
                <w:rStyle w:val="CharStyle13"/>
                <w:lang w:val="en-US" w:eastAsia="en-US" w:bidi="en-US"/>
              </w:rPr>
              <w:t xml:space="preserve">SNIP </w:t>
            </w:r>
            <w:r>
              <w:rPr>
                <w:rStyle w:val="CharStyle13"/>
              </w:rPr>
              <w:t>&gt; 0).</w:t>
            </w:r>
          </w:p>
          <w:p>
            <w:pPr>
              <w:pStyle w:val="Style11"/>
              <w:numPr>
                <w:ilvl w:val="1"/>
                <w:numId w:val="1"/>
              </w:numPr>
              <w:framePr w:w="11069" w:wrap="notBeside" w:vAnchor="text" w:hAnchor="text" w:xAlign="center" w:y="1"/>
              <w:tabs>
                <w:tab w:leader="none" w:pos="-4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hanging="500"/>
            </w:pPr>
            <w:r>
              <w:rPr>
                <w:rStyle w:val="CharStyle13"/>
              </w:rPr>
              <w:t xml:space="preserve">Статті, у журналах, що входять до науково-метричних баз даних </w:t>
            </w:r>
            <w:r>
              <w:rPr>
                <w:rStyle w:val="CharStyle13"/>
                <w:lang w:val="en-US" w:eastAsia="en-US" w:bidi="en-US"/>
              </w:rPr>
              <w:t xml:space="preserve">WoS </w:t>
            </w:r>
            <w:r>
              <w:rPr>
                <w:rStyle w:val="CharStyle13"/>
              </w:rPr>
              <w:t xml:space="preserve">та/або </w:t>
            </w:r>
            <w:r>
              <w:rPr>
                <w:rStyle w:val="CharStyle13"/>
                <w:lang w:val="en-US" w:eastAsia="en-US" w:bidi="en-US"/>
              </w:rPr>
              <w:t xml:space="preserve">Scopus, </w:t>
            </w:r>
            <w:r>
              <w:rPr>
                <w:rStyle w:val="CharStyle13"/>
              </w:rPr>
              <w:t xml:space="preserve">які не ввійшли до п. 1.4 (або </w:t>
            </w:r>
            <w:r>
              <w:rPr>
                <w:rStyle w:val="CharStyle13"/>
                <w:lang w:val="en-US" w:eastAsia="en-US" w:bidi="en-US"/>
              </w:rPr>
              <w:t xml:space="preserve">Index Copernicus </w:t>
            </w:r>
            <w:r>
              <w:rPr>
                <w:rStyle w:val="CharStyle13"/>
              </w:rPr>
              <w:t>для соціо-гуманітарних наук).</w:t>
            </w:r>
          </w:p>
          <w:p>
            <w:pPr>
              <w:pStyle w:val="Style11"/>
              <w:numPr>
                <w:ilvl w:val="1"/>
                <w:numId w:val="1"/>
              </w:numPr>
              <w:framePr w:w="11069" w:wrap="notBeside" w:vAnchor="text" w:hAnchor="text" w:xAlign="center" w:y="1"/>
              <w:tabs>
                <w:tab w:leader="none" w:pos="-10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hanging="500"/>
            </w:pPr>
            <w:r>
              <w:rPr>
                <w:rStyle w:val="CharStyle13"/>
              </w:rPr>
              <w:t xml:space="preserve">Статті у журналах, що входять до переліку фахових видань України та мають </w:t>
            </w:r>
            <w:r>
              <w:rPr>
                <w:rStyle w:val="CharStyle13"/>
                <w:lang w:val="en-US" w:eastAsia="en-US" w:bidi="en-US"/>
              </w:rPr>
              <w:t xml:space="preserve">ISSN, </w:t>
            </w:r>
            <w:r>
              <w:rPr>
                <w:rStyle w:val="CharStyle13"/>
              </w:rPr>
              <w:t xml:space="preserve">статті у закордонних журналах, що не увійшли до пп. 1.4, 1.5, а також англомовні тези доповідей у матеріалах міжнародних конференцій, що індексуються науково- метричними базами даних </w:t>
            </w:r>
            <w:r>
              <w:rPr>
                <w:rStyle w:val="CharStyle13"/>
                <w:lang w:val="en-US" w:eastAsia="en-US" w:bidi="en-US"/>
              </w:rPr>
              <w:t xml:space="preserve">WoS </w:t>
            </w:r>
            <w:r>
              <w:rPr>
                <w:rStyle w:val="CharStyle13"/>
              </w:rPr>
              <w:t xml:space="preserve">та/або </w:t>
            </w:r>
            <w:r>
              <w:rPr>
                <w:rStyle w:val="CharStyle13"/>
                <w:lang w:val="en-US" w:eastAsia="en-US" w:bidi="en-US"/>
              </w:rPr>
              <w:t xml:space="preserve">Scopus </w:t>
            </w:r>
            <w:r>
              <w:rPr>
                <w:rStyle w:val="CharStyle13"/>
              </w:rPr>
              <w:t xml:space="preserve">(або </w:t>
            </w:r>
            <w:r>
              <w:rPr>
                <w:rStyle w:val="CharStyle13"/>
                <w:lang w:val="en-US" w:eastAsia="en-US" w:bidi="en-US"/>
              </w:rPr>
              <w:t xml:space="preserve">Index Copernicus </w:t>
            </w:r>
            <w:r>
              <w:rPr>
                <w:rStyle w:val="CharStyle13"/>
              </w:rPr>
              <w:t>для соціо-гуманітарних наук).</w:t>
            </w:r>
          </w:p>
          <w:p>
            <w:pPr>
              <w:pStyle w:val="Style11"/>
              <w:numPr>
                <w:ilvl w:val="0"/>
                <w:numId w:val="1"/>
              </w:numPr>
              <w:framePr w:w="11069" w:wrap="notBeside" w:vAnchor="text" w:hAnchor="text" w:xAlign="center" w:y="1"/>
              <w:tabs>
                <w:tab w:leader="none" w:pos="-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hanging="500"/>
            </w:pPr>
            <w:r>
              <w:rPr>
                <w:rStyle w:val="CharStyle14"/>
              </w:rPr>
              <w:t>Підготовка наукових кадрів за тематикою НДР:</w:t>
            </w:r>
          </w:p>
          <w:p>
            <w:pPr>
              <w:pStyle w:val="Style11"/>
              <w:numPr>
                <w:ilvl w:val="1"/>
                <w:numId w:val="1"/>
              </w:numPr>
              <w:framePr w:w="11069" w:wrap="notBeside" w:vAnchor="text" w:hAnchor="text" w:xAlign="center" w:y="1"/>
              <w:tabs>
                <w:tab w:leader="none" w:pos="-8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hanging="500"/>
            </w:pPr>
            <w:r>
              <w:rPr>
                <w:rStyle w:val="CharStyle13"/>
              </w:rPr>
              <w:t>Захищено докторських дисертацій.</w:t>
            </w:r>
          </w:p>
          <w:p>
            <w:pPr>
              <w:pStyle w:val="Style11"/>
              <w:numPr>
                <w:ilvl w:val="1"/>
                <w:numId w:val="1"/>
              </w:numPr>
              <w:framePr w:w="11069" w:wrap="notBeside" w:vAnchor="text" w:hAnchor="text" w:xAlign="center" w:y="1"/>
              <w:tabs>
                <w:tab w:leader="none" w:pos="-8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hanging="500"/>
            </w:pPr>
            <w:r>
              <w:rPr>
                <w:rStyle w:val="CharStyle13"/>
              </w:rPr>
              <w:t>Захищено кандидатських дисертацій.</w:t>
            </w:r>
          </w:p>
          <w:p>
            <w:pPr>
              <w:pStyle w:val="Style11"/>
              <w:numPr>
                <w:ilvl w:val="1"/>
                <w:numId w:val="1"/>
              </w:numPr>
              <w:framePr w:w="11069" w:wrap="notBeside" w:vAnchor="text" w:hAnchor="text" w:xAlign="center" w:y="1"/>
              <w:tabs>
                <w:tab w:leader="none" w:pos="-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hanging="500"/>
            </w:pPr>
            <w:r>
              <w:rPr>
                <w:rStyle w:val="CharStyle13"/>
              </w:rPr>
              <w:t>Захищено магістерських робіт.</w:t>
            </w:r>
          </w:p>
          <w:p>
            <w:pPr>
              <w:pStyle w:val="Style11"/>
              <w:numPr>
                <w:ilvl w:val="0"/>
                <w:numId w:val="1"/>
              </w:numPr>
              <w:framePr w:w="11069" w:wrap="notBeside" w:vAnchor="text" w:hAnchor="text" w:xAlign="center" w:y="1"/>
              <w:tabs>
                <w:tab w:leader="none" w:pos="-13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hanging="500"/>
            </w:pPr>
            <w:r>
              <w:rPr>
                <w:rStyle w:val="CharStyle14"/>
              </w:rPr>
              <w:t xml:space="preserve">Охоронні документи на об’єкти права інтелектуальної власності України або інших країн за тематикою НДР </w:t>
            </w:r>
            <w:r>
              <w:rPr>
                <w:rStyle w:val="CharStyle13"/>
              </w:rPr>
              <w:t>(патенти, свідоцтва про реєстрацію авторського права тощо).</w:t>
            </w:r>
          </w:p>
          <w:p>
            <w:pPr>
              <w:pStyle w:val="Style11"/>
              <w:numPr>
                <w:ilvl w:val="0"/>
                <w:numId w:val="1"/>
              </w:numPr>
              <w:framePr w:w="11069" w:wrap="notBeside" w:vAnchor="text" w:hAnchor="text" w:xAlign="center" w:y="1"/>
              <w:tabs>
                <w:tab w:leader="none" w:pos="-14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hanging="500"/>
            </w:pPr>
            <w:r>
              <w:rPr>
                <w:rStyle w:val="CharStyle14"/>
              </w:rPr>
              <w:t>Впроваджено наукові або науково-практичні результати</w:t>
            </w:r>
          </w:p>
          <w:p>
            <w:pPr>
              <w:pStyle w:val="Style11"/>
              <w:framePr w:w="110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шляхом укладання господарчих договорів (у тім числі на розробку ТУ, ДСТУ, технологічних регламентів (умов), будівельних норм, зареєстрованих проектів законодавчих нормативних актів), продажу ліцензій або «ноу-хау», ґрантових угод поза межами організації- виконавця.</w:t>
            </w:r>
          </w:p>
          <w:p>
            <w:pPr>
              <w:pStyle w:val="Style11"/>
              <w:numPr>
                <w:ilvl w:val="0"/>
                <w:numId w:val="1"/>
              </w:numPr>
              <w:framePr w:w="11069" w:wrap="notBeside" w:vAnchor="text" w:hAnchor="text" w:xAlign="center" w:y="1"/>
              <w:tabs>
                <w:tab w:leader="none" w:pos="-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hanging="500"/>
            </w:pPr>
            <w:r>
              <w:rPr>
                <w:rStyle w:val="CharStyle14"/>
              </w:rPr>
              <w:t>Участь з оплатою у виконанні НДР:</w:t>
            </w:r>
          </w:p>
          <w:p>
            <w:pPr>
              <w:pStyle w:val="Style11"/>
              <w:numPr>
                <w:ilvl w:val="1"/>
                <w:numId w:val="1"/>
              </w:numPr>
              <w:framePr w:w="11069" w:wrap="notBeside" w:vAnchor="text" w:hAnchor="text" w:xAlign="center" w:y="1"/>
              <w:tabs>
                <w:tab w:leader="none" w:pos="-9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hanging="500"/>
            </w:pPr>
            <w:r>
              <w:rPr>
                <w:rStyle w:val="CharStyle13"/>
              </w:rPr>
              <w:t>Аспіранти.</w:t>
            </w:r>
          </w:p>
          <w:p>
            <w:pPr>
              <w:pStyle w:val="Style11"/>
              <w:numPr>
                <w:ilvl w:val="1"/>
                <w:numId w:val="1"/>
              </w:numPr>
              <w:framePr w:w="11069" w:wrap="notBeside" w:vAnchor="text" w:hAnchor="text" w:xAlign="center" w:y="1"/>
              <w:tabs>
                <w:tab w:leader="none" w:pos="-9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hanging="500"/>
            </w:pPr>
            <w:r>
              <w:rPr>
                <w:rStyle w:val="CharStyle13"/>
              </w:rPr>
              <w:t>Студенти.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10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10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106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284" w:left="547" w:right="284" w:bottom="639" w:header="0" w:footer="3" w:gutter="0"/>
          <w:rtlGutter w:val="0"/>
          <w:cols w:space="720"/>
          <w:pgNumType w:start="2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48" w:line="22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Основні наукові результати: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40" w:line="220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5pt;margin-top:-25.6pt;width:10.55pt;height:14.4pt;z-index:-125829376;mso-wrap-distance-left:5.pt;mso-wrap-distance-right:25.9pt;mso-wrap-distance-bottom:45.8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4"/>
                    </w:rPr>
                    <w:t>5.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uk-UA" w:eastAsia="uk-UA" w:bidi="uk-UA"/>
          <w:w w:val="100"/>
          <w:spacing w:val="0"/>
          <w:color w:val="000000"/>
          <w:position w:val="0"/>
        </w:rPr>
        <w:t>5а. Анотація (до 10 рядків)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56. Основні результативні показники </w:t>
      </w:r>
      <w:r>
        <w:rPr>
          <w:rStyle w:val="CharStyle15"/>
        </w:rPr>
        <w:t xml:space="preserve">виконання НДР,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одержані на сьогодні</w:t>
      </w:r>
    </w:p>
    <w:tbl>
      <w:tblPr>
        <w:tblOverlap w:val="never"/>
        <w:tblLayout w:type="fixed"/>
        <w:jc w:val="center"/>
      </w:tblPr>
      <w:tblGrid>
        <w:gridCol w:w="7550"/>
        <w:gridCol w:w="1406"/>
        <w:gridCol w:w="1118"/>
        <w:gridCol w:w="878"/>
      </w:tblGrid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9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uk-UA" w:eastAsia="uk-UA" w:bidi="uk-UA"/>
                <w:w w:val="100"/>
                <w:spacing w:val="0"/>
                <w:color w:val="000000"/>
                <w:position w:val="0"/>
              </w:rPr>
              <w:t>Показники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9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lang w:val="uk-UA" w:eastAsia="uk-UA" w:bidi="uk-UA"/>
                <w:w w:val="100"/>
                <w:spacing w:val="0"/>
                <w:color w:val="000000"/>
                <w:position w:val="0"/>
              </w:rPr>
              <w:t>Заплановано на весь період, кількість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9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lang w:val="uk-UA" w:eastAsia="uk-UA" w:bidi="uk-UA"/>
                <w:w w:val="100"/>
                <w:spacing w:val="0"/>
                <w:color w:val="000000"/>
                <w:position w:val="0"/>
              </w:rPr>
              <w:t>Виконано за весь період, кількість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9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lang w:val="uk-UA" w:eastAsia="uk-UA" w:bidi="uk-UA"/>
                <w:w w:val="100"/>
                <w:spacing w:val="0"/>
                <w:color w:val="000000"/>
                <w:position w:val="0"/>
              </w:rPr>
              <w:t>%</w:t>
            </w:r>
          </w:p>
          <w:p>
            <w:pPr>
              <w:pStyle w:val="Style3"/>
              <w:framePr w:w="109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lang w:val="uk-UA" w:eastAsia="uk-UA" w:bidi="uk-UA"/>
                <w:w w:val="100"/>
                <w:spacing w:val="0"/>
                <w:color w:val="000000"/>
                <w:position w:val="0"/>
              </w:rPr>
              <w:t>вико</w:t>
              <w:softHyphen/>
            </w:r>
          </w:p>
          <w:p>
            <w:pPr>
              <w:pStyle w:val="Style3"/>
              <w:framePr w:w="109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80" w:right="0" w:firstLine="0"/>
            </w:pPr>
            <w:r>
              <w:rPr>
                <w:lang w:val="uk-UA" w:eastAsia="uk-UA" w:bidi="uk-UA"/>
                <w:w w:val="100"/>
                <w:spacing w:val="0"/>
                <w:color w:val="000000"/>
                <w:position w:val="0"/>
              </w:rPr>
              <w:t>нання</w:t>
            </w:r>
          </w:p>
        </w:tc>
      </w:tr>
      <w:tr>
        <w:trPr>
          <w:trHeight w:val="967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numPr>
                <w:ilvl w:val="0"/>
                <w:numId w:val="3"/>
              </w:numPr>
              <w:framePr w:w="10954" w:wrap="notBeside" w:vAnchor="text" w:hAnchor="text" w:xAlign="center" w:y="1"/>
              <w:tabs>
                <w:tab w:leader="none" w:pos="-17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hanging="520"/>
            </w:pPr>
            <w:r>
              <w:rPr>
                <w:rStyle w:val="CharStyle15"/>
              </w:rPr>
              <w:t>Публікації виконавців за тематикою НДР (перелік додається):</w:t>
            </w:r>
          </w:p>
          <w:p>
            <w:pPr>
              <w:pStyle w:val="Style3"/>
              <w:numPr>
                <w:ilvl w:val="1"/>
                <w:numId w:val="3"/>
              </w:numPr>
              <w:framePr w:w="10954" w:wrap="notBeside" w:vAnchor="text" w:hAnchor="text" w:xAlign="center" w:y="1"/>
              <w:tabs>
                <w:tab w:leader="none" w:pos="-1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hanging="520"/>
            </w:pPr>
            <w:r>
              <w:rPr>
                <w:lang w:val="uk-UA" w:eastAsia="uk-UA" w:bidi="uk-UA"/>
                <w:w w:val="100"/>
                <w:spacing w:val="0"/>
                <w:color w:val="000000"/>
                <w:position w:val="0"/>
              </w:rPr>
              <w:t>Монографії, опубліковані у закордонних видавництвах офіційними мовами Європейського Союзу (друк. арк.).</w:t>
            </w:r>
          </w:p>
          <w:p>
            <w:pPr>
              <w:pStyle w:val="Style3"/>
              <w:numPr>
                <w:ilvl w:val="1"/>
                <w:numId w:val="3"/>
              </w:numPr>
              <w:framePr w:w="10954" w:wrap="notBeside" w:vAnchor="text" w:hAnchor="text" w:xAlign="center" w:y="1"/>
              <w:tabs>
                <w:tab w:leader="none" w:pos="-12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hanging="520"/>
            </w:pPr>
            <w:r>
              <w:rPr>
                <w:lang w:val="uk-UA" w:eastAsia="uk-UA" w:bidi="uk-UA"/>
                <w:w w:val="100"/>
                <w:spacing w:val="0"/>
                <w:color w:val="000000"/>
                <w:position w:val="0"/>
              </w:rPr>
              <w:t>Розділи монографій, опубліковані у закордонних видавництвах офіційними мовами Європейського Союзу (від 3 друк. арк.).</w:t>
            </w:r>
          </w:p>
          <w:p>
            <w:pPr>
              <w:pStyle w:val="Style3"/>
              <w:numPr>
                <w:ilvl w:val="1"/>
                <w:numId w:val="3"/>
              </w:numPr>
              <w:framePr w:w="10954" w:wrap="notBeside" w:vAnchor="text" w:hAnchor="text" w:xAlign="center" w:y="1"/>
              <w:tabs>
                <w:tab w:leader="none" w:pos="-12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hanging="520"/>
            </w:pPr>
            <w:r>
              <w:rPr>
                <w:lang w:val="uk-UA" w:eastAsia="uk-UA" w:bidi="uk-UA"/>
                <w:w w:val="100"/>
                <w:spacing w:val="0"/>
                <w:color w:val="000000"/>
                <w:position w:val="0"/>
              </w:rPr>
              <w:t>Монографії, опубліковані мовами, які не відносяться до мов Європейського Союзу (друк. арк.).</w:t>
            </w:r>
          </w:p>
          <w:p>
            <w:pPr>
              <w:pStyle w:val="Style3"/>
              <w:numPr>
                <w:ilvl w:val="1"/>
                <w:numId w:val="3"/>
              </w:numPr>
              <w:framePr w:w="10954" w:wrap="notBeside" w:vAnchor="text" w:hAnchor="text" w:xAlign="center" w:y="1"/>
              <w:tabs>
                <w:tab w:leader="none" w:pos="-1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hanging="520"/>
            </w:pPr>
            <w:r>
              <w:rPr>
                <w:lang w:val="uk-UA" w:eastAsia="uk-UA" w:bidi="uk-UA"/>
                <w:w w:val="100"/>
                <w:spacing w:val="0"/>
                <w:color w:val="000000"/>
                <w:position w:val="0"/>
              </w:rPr>
              <w:t xml:space="preserve">Статті у журналах, що входять до науково-метричних баз даних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WoS </w:t>
            </w:r>
            <w:r>
              <w:rPr>
                <w:lang w:val="uk-UA" w:eastAsia="uk-UA" w:bidi="uk-UA"/>
                <w:w w:val="100"/>
                <w:spacing w:val="0"/>
                <w:color w:val="000000"/>
                <w:position w:val="0"/>
              </w:rPr>
              <w:t xml:space="preserve">та/або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Scopus </w:t>
            </w:r>
            <w:r>
              <w:rPr>
                <w:lang w:val="uk-UA" w:eastAsia="uk-UA" w:bidi="uk-UA"/>
                <w:w w:val="100"/>
                <w:spacing w:val="0"/>
                <w:color w:val="000000"/>
                <w:position w:val="0"/>
              </w:rPr>
              <w:t xml:space="preserve">з індексом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SNIP </w:t>
            </w:r>
            <w:r>
              <w:rPr>
                <w:lang w:val="uk-UA" w:eastAsia="uk-UA" w:bidi="uk-UA"/>
                <w:w w:val="100"/>
                <w:spacing w:val="0"/>
                <w:color w:val="000000"/>
                <w:position w:val="0"/>
              </w:rPr>
              <w:t xml:space="preserve">&gt; 0,4 (для соціо-гуманітарних наук з індексом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SNIP </w:t>
            </w:r>
            <w:r>
              <w:rPr>
                <w:lang w:val="uk-UA" w:eastAsia="uk-UA" w:bidi="uk-UA"/>
                <w:w w:val="100"/>
                <w:spacing w:val="0"/>
                <w:color w:val="000000"/>
                <w:position w:val="0"/>
              </w:rPr>
              <w:t>&gt; 0).</w:t>
            </w:r>
          </w:p>
          <w:p>
            <w:pPr>
              <w:pStyle w:val="Style3"/>
              <w:numPr>
                <w:ilvl w:val="1"/>
                <w:numId w:val="3"/>
              </w:numPr>
              <w:framePr w:w="10954" w:wrap="notBeside" w:vAnchor="text" w:hAnchor="text" w:xAlign="center" w:y="1"/>
              <w:tabs>
                <w:tab w:leader="none" w:pos="-6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hanging="520"/>
            </w:pPr>
            <w:r>
              <w:rPr>
                <w:lang w:val="uk-UA" w:eastAsia="uk-UA" w:bidi="uk-UA"/>
                <w:w w:val="100"/>
                <w:spacing w:val="0"/>
                <w:color w:val="000000"/>
                <w:position w:val="0"/>
              </w:rPr>
              <w:t xml:space="preserve">Статті, у журналах, що входять до науково-метричних баз даних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WoS </w:t>
            </w:r>
            <w:r>
              <w:rPr>
                <w:lang w:val="uk-UA" w:eastAsia="uk-UA" w:bidi="uk-UA"/>
                <w:w w:val="100"/>
                <w:spacing w:val="0"/>
                <w:color w:val="000000"/>
                <w:position w:val="0"/>
              </w:rPr>
              <w:t xml:space="preserve">та/або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Scopus, </w:t>
            </w:r>
            <w:r>
              <w:rPr>
                <w:lang w:val="uk-UA" w:eastAsia="uk-UA" w:bidi="uk-UA"/>
                <w:w w:val="100"/>
                <w:spacing w:val="0"/>
                <w:color w:val="000000"/>
                <w:position w:val="0"/>
              </w:rPr>
              <w:t xml:space="preserve">які не ввійшли до п. 1.4 (або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Index Copernicus </w:t>
            </w:r>
            <w:r>
              <w:rPr>
                <w:lang w:val="uk-UA" w:eastAsia="uk-UA" w:bidi="uk-UA"/>
                <w:w w:val="100"/>
                <w:spacing w:val="0"/>
                <w:color w:val="000000"/>
                <w:position w:val="0"/>
              </w:rPr>
              <w:t>для соціо-гуманітарних наук).</w:t>
            </w:r>
          </w:p>
          <w:p>
            <w:pPr>
              <w:pStyle w:val="Style3"/>
              <w:numPr>
                <w:ilvl w:val="1"/>
                <w:numId w:val="3"/>
              </w:numPr>
              <w:framePr w:w="10954" w:wrap="notBeside" w:vAnchor="text" w:hAnchor="text" w:xAlign="center" w:y="1"/>
              <w:tabs>
                <w:tab w:leader="none" w:pos="-12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hanging="520"/>
            </w:pPr>
            <w:r>
              <w:rPr>
                <w:lang w:val="uk-UA" w:eastAsia="uk-UA" w:bidi="uk-UA"/>
                <w:w w:val="100"/>
                <w:spacing w:val="0"/>
                <w:color w:val="000000"/>
                <w:position w:val="0"/>
              </w:rPr>
              <w:t xml:space="preserve">Статті у журналах, що входять до переліку фахових видань України та мають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ISSN, </w:t>
            </w:r>
            <w:r>
              <w:rPr>
                <w:lang w:val="uk-UA" w:eastAsia="uk-UA" w:bidi="uk-UA"/>
                <w:w w:val="100"/>
                <w:spacing w:val="0"/>
                <w:color w:val="000000"/>
                <w:position w:val="0"/>
              </w:rPr>
              <w:t xml:space="preserve">статті у закордонних журналах, що не увійшли до пп. 1.4, 1.5, а також англомовні тези доповідей у матеріалах міжнародних конференцій, що індексуються науково- метричними базами даних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WoS </w:t>
            </w:r>
            <w:r>
              <w:rPr>
                <w:lang w:val="uk-UA" w:eastAsia="uk-UA" w:bidi="uk-UA"/>
                <w:w w:val="100"/>
                <w:spacing w:val="0"/>
                <w:color w:val="000000"/>
                <w:position w:val="0"/>
              </w:rPr>
              <w:t xml:space="preserve">та/або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Scopus </w:t>
            </w:r>
            <w:r>
              <w:rPr>
                <w:lang w:val="uk-UA" w:eastAsia="uk-UA" w:bidi="uk-UA"/>
                <w:w w:val="100"/>
                <w:spacing w:val="0"/>
                <w:color w:val="000000"/>
                <w:position w:val="0"/>
              </w:rPr>
              <w:t xml:space="preserve">(або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Index Copernicus </w:t>
            </w:r>
            <w:r>
              <w:rPr>
                <w:lang w:val="uk-UA" w:eastAsia="uk-UA" w:bidi="uk-UA"/>
                <w:w w:val="100"/>
                <w:spacing w:val="0"/>
                <w:color w:val="000000"/>
                <w:position w:val="0"/>
              </w:rPr>
              <w:t>для соціо-гуманітарних наук).</w:t>
            </w:r>
          </w:p>
          <w:p>
            <w:pPr>
              <w:pStyle w:val="Style3"/>
              <w:numPr>
                <w:ilvl w:val="0"/>
                <w:numId w:val="3"/>
              </w:numPr>
              <w:framePr w:w="10954" w:wrap="notBeside" w:vAnchor="text" w:hAnchor="text" w:xAlign="center" w:y="1"/>
              <w:tabs>
                <w:tab w:leader="none" w:pos="-9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hanging="520"/>
            </w:pPr>
            <w:r>
              <w:rPr>
                <w:rStyle w:val="CharStyle15"/>
              </w:rPr>
              <w:t>Підготовка наукових кадрів за тематикою НДР:</w:t>
            </w:r>
          </w:p>
          <w:p>
            <w:pPr>
              <w:pStyle w:val="Style3"/>
              <w:numPr>
                <w:ilvl w:val="1"/>
                <w:numId w:val="3"/>
              </w:numPr>
              <w:framePr w:w="10954" w:wrap="notBeside" w:vAnchor="text" w:hAnchor="text" w:xAlign="center" w:y="1"/>
              <w:tabs>
                <w:tab w:leader="none" w:pos="-10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hanging="520"/>
            </w:pPr>
            <w:r>
              <w:rPr>
                <w:lang w:val="uk-UA" w:eastAsia="uk-UA" w:bidi="uk-UA"/>
                <w:w w:val="100"/>
                <w:spacing w:val="0"/>
                <w:color w:val="000000"/>
                <w:position w:val="0"/>
              </w:rPr>
              <w:t>Захищено докторських дисертацій.</w:t>
            </w:r>
          </w:p>
          <w:p>
            <w:pPr>
              <w:pStyle w:val="Style3"/>
              <w:numPr>
                <w:ilvl w:val="1"/>
                <w:numId w:val="3"/>
              </w:numPr>
              <w:framePr w:w="10954" w:wrap="notBeside" w:vAnchor="text" w:hAnchor="text" w:xAlign="center" w:y="1"/>
              <w:tabs>
                <w:tab w:leader="none" w:pos="-10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hanging="520"/>
            </w:pPr>
            <w:r>
              <w:rPr>
                <w:lang w:val="uk-UA" w:eastAsia="uk-UA" w:bidi="uk-UA"/>
                <w:w w:val="100"/>
                <w:spacing w:val="0"/>
                <w:color w:val="000000"/>
                <w:position w:val="0"/>
              </w:rPr>
              <w:t>Захищено кандидатських дисертацій.</w:t>
            </w:r>
          </w:p>
          <w:p>
            <w:pPr>
              <w:pStyle w:val="Style3"/>
              <w:numPr>
                <w:ilvl w:val="1"/>
                <w:numId w:val="3"/>
              </w:numPr>
              <w:framePr w:w="10954" w:wrap="notBeside" w:vAnchor="text" w:hAnchor="text" w:xAlign="center" w:y="1"/>
              <w:tabs>
                <w:tab w:leader="none" w:pos="-9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hanging="520"/>
            </w:pPr>
            <w:r>
              <w:rPr>
                <w:lang w:val="uk-UA" w:eastAsia="uk-UA" w:bidi="uk-UA"/>
                <w:w w:val="100"/>
                <w:spacing w:val="0"/>
                <w:color w:val="000000"/>
                <w:position w:val="0"/>
              </w:rPr>
              <w:t>Захищено магістерських робіт.</w:t>
            </w:r>
          </w:p>
          <w:p>
            <w:pPr>
              <w:pStyle w:val="Style3"/>
              <w:numPr>
                <w:ilvl w:val="0"/>
                <w:numId w:val="3"/>
              </w:numPr>
              <w:framePr w:w="10954" w:wrap="notBeside" w:vAnchor="text" w:hAnchor="text" w:xAlign="center" w:y="1"/>
              <w:tabs>
                <w:tab w:leader="none" w:pos="-15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hanging="520"/>
            </w:pPr>
            <w:r>
              <w:rPr>
                <w:rStyle w:val="CharStyle15"/>
              </w:rPr>
              <w:t xml:space="preserve">Охоронні документи на об’єкти права інтелектуальної власності України або інших країн за тематикою НДР </w:t>
            </w:r>
            <w:r>
              <w:rPr>
                <w:lang w:val="uk-UA" w:eastAsia="uk-UA" w:bidi="uk-UA"/>
                <w:w w:val="100"/>
                <w:spacing w:val="0"/>
                <w:color w:val="000000"/>
                <w:position w:val="0"/>
              </w:rPr>
              <w:t>(патенти, свідоцтва про реєстрацію авторського права тощо).</w:t>
            </w:r>
          </w:p>
          <w:p>
            <w:pPr>
              <w:pStyle w:val="Style3"/>
              <w:numPr>
                <w:ilvl w:val="0"/>
                <w:numId w:val="3"/>
              </w:numPr>
              <w:framePr w:w="10954" w:wrap="notBeside" w:vAnchor="text" w:hAnchor="text" w:xAlign="center" w:y="1"/>
              <w:tabs>
                <w:tab w:leader="none" w:pos="-15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hanging="520"/>
            </w:pPr>
            <w:r>
              <w:rPr>
                <w:rStyle w:val="CharStyle15"/>
              </w:rPr>
              <w:t>Впроваджено наукові або науково-практичні результати</w:t>
            </w:r>
          </w:p>
          <w:p>
            <w:pPr>
              <w:pStyle w:val="Style3"/>
              <w:framePr w:w="109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uk-UA" w:eastAsia="uk-UA" w:bidi="uk-UA"/>
                <w:w w:val="100"/>
                <w:spacing w:val="0"/>
                <w:color w:val="000000"/>
                <w:position w:val="0"/>
              </w:rPr>
              <w:t>шляхом укладання господарчих договорів (у тім числі на розробку ТУ, ДСТУ, технологічних регламентів (умов), будівельних норм, зареєстрованих проектів законодавчих нормативних актів), продажу ліцензій або «ноу-хау», грантових угод поза межами організації-виконавця.</w:t>
            </w:r>
          </w:p>
          <w:p>
            <w:pPr>
              <w:pStyle w:val="Style3"/>
              <w:numPr>
                <w:ilvl w:val="0"/>
                <w:numId w:val="3"/>
              </w:numPr>
              <w:framePr w:w="10954" w:wrap="notBeside" w:vAnchor="text" w:hAnchor="text" w:xAlign="center" w:y="1"/>
              <w:tabs>
                <w:tab w:leader="none" w:pos="-10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hanging="520"/>
            </w:pPr>
            <w:r>
              <w:rPr>
                <w:rStyle w:val="CharStyle15"/>
              </w:rPr>
              <w:t>Участь з оплатою у виконанні НДР:</w:t>
            </w:r>
          </w:p>
          <w:p>
            <w:pPr>
              <w:pStyle w:val="Style3"/>
              <w:numPr>
                <w:ilvl w:val="1"/>
                <w:numId w:val="3"/>
              </w:numPr>
              <w:framePr w:w="10954" w:wrap="notBeside" w:vAnchor="text" w:hAnchor="text" w:xAlign="center" w:y="1"/>
              <w:tabs>
                <w:tab w:leader="none" w:pos="-10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hanging="520"/>
            </w:pPr>
            <w:r>
              <w:rPr>
                <w:lang w:val="uk-UA" w:eastAsia="uk-UA" w:bidi="uk-UA"/>
                <w:w w:val="100"/>
                <w:spacing w:val="0"/>
                <w:color w:val="000000"/>
                <w:position w:val="0"/>
              </w:rPr>
              <w:t>Аспіранти.</w:t>
            </w:r>
          </w:p>
          <w:p>
            <w:pPr>
              <w:pStyle w:val="Style3"/>
              <w:numPr>
                <w:ilvl w:val="1"/>
                <w:numId w:val="3"/>
              </w:numPr>
              <w:framePr w:w="10954" w:wrap="notBeside" w:vAnchor="text" w:hAnchor="text" w:xAlign="center" w:y="1"/>
              <w:tabs>
                <w:tab w:leader="none" w:pos="-10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hanging="520"/>
            </w:pPr>
            <w:r>
              <w:rPr>
                <w:lang w:val="uk-UA" w:eastAsia="uk-UA" w:bidi="uk-UA"/>
                <w:w w:val="100"/>
                <w:spacing w:val="0"/>
                <w:color w:val="000000"/>
                <w:position w:val="0"/>
              </w:rPr>
              <w:t>Студенти.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9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9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9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95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292" w:after="215" w:line="220" w:lineRule="exact"/>
        <w:ind w:left="92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5в. Інше</w:t>
      </w:r>
    </w:p>
    <w:p>
      <w:pPr>
        <w:pStyle w:val="Style3"/>
        <w:tabs>
          <w:tab w:leader="underscore" w:pos="1113" w:val="left"/>
          <w:tab w:leader="underscore" w:pos="2769" w:val="left"/>
          <w:tab w:leader="underscore" w:pos="58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87" w:line="278" w:lineRule="exact"/>
        <w:ind w:left="220" w:right="238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Рішення та рекомендації вченої (науково-технічної) ради факультету (підрозділу) (від “</w:t>
        <w:tab/>
        <w:t>”</w:t>
        <w:tab/>
        <w:t>2020 р., протокол №</w:t>
        <w:tab/>
        <w:t>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56" w:line="220" w:lineRule="exact"/>
        <w:ind w:left="22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Голова вченої (науково-технічної) ради факультету (підрозділу)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56" w:line="180" w:lineRule="exact"/>
        <w:ind w:left="938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(підпис)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61" w:line="220" w:lineRule="exact"/>
        <w:ind w:left="22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Науковий керівник теми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938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(підпис)</w:t>
      </w:r>
    </w:p>
    <w:sectPr>
      <w:footnotePr>
        <w:pos w:val="pageBottom"/>
        <w:numFmt w:val="decimal"/>
        <w:numRestart w:val="continuous"/>
      </w:footnotePr>
      <w:pgSz w:w="11900" w:h="16840"/>
      <w:pgMar w:top="284" w:left="547" w:right="284" w:bottom="639" w:header="0" w:footer="3" w:gutter="0"/>
      <w:rtlGutter w:val="0"/>
      <w:cols w:space="720"/>
      <w:pgNumType w:start="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uk-UA" w:eastAsia="uk-UA" w:bidi="uk-UA"/>
        <w:b/>
        <w:bCs/>
        <w:i w:val="0"/>
        <w:iCs w:val="0"/>
        <w:u w:val="none"/>
        <w:strike w:val="0"/>
        <w:smallCaps w:val="0"/>
        <w:sz w:val="23"/>
        <w:szCs w:val="23"/>
        <w:rFonts w:ascii="Sylfaen" w:eastAsia="Sylfaen" w:hAnsi="Sylfaen" w:cs="Sylfae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uk-UA" w:eastAsia="uk-UA" w:bidi="uk-UA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Sylfaen" w:eastAsia="Sylfaen" w:hAnsi="Sylfaen" w:cs="Sylfae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uk-UA" w:eastAsia="uk-UA" w:bidi="uk-UA"/>
        <w:b/>
        <w:bCs/>
        <w:i w:val="0"/>
        <w:iCs w:val="0"/>
        <w:u w:val="none"/>
        <w:strike w:val="0"/>
        <w:smallCaps w:val="0"/>
        <w:sz w:val="23"/>
        <w:szCs w:val="23"/>
        <w:rFonts w:ascii="Sylfaen" w:eastAsia="Sylfaen" w:hAnsi="Sylfaen" w:cs="Sylfae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uk-UA" w:eastAsia="uk-UA" w:bidi="uk-UA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Sylfaen" w:eastAsia="Sylfaen" w:hAnsi="Sylfaen" w:cs="Sylfae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ий текст (3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Sylfaen" w:eastAsia="Sylfaen" w:hAnsi="Sylfaen" w:cs="Sylfaen"/>
    </w:rPr>
  </w:style>
  <w:style w:type="character" w:customStyle="1" w:styleId="CharStyle5">
    <w:name w:val="Основни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Sylfaen" w:eastAsia="Sylfaen" w:hAnsi="Sylfaen" w:cs="Sylfaen"/>
    </w:rPr>
  </w:style>
  <w:style w:type="character" w:customStyle="1" w:styleId="CharStyle7">
    <w:name w:val="Основний текст (4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9"/>
      <w:szCs w:val="19"/>
      <w:rFonts w:ascii="Sylfaen" w:eastAsia="Sylfaen" w:hAnsi="Sylfaen" w:cs="Sylfaen"/>
    </w:rPr>
  </w:style>
  <w:style w:type="character" w:customStyle="1" w:styleId="CharStyle8">
    <w:name w:val="Основний текст (5)"/>
    <w:basedOn w:val="DefaultParagraphFont"/>
    <w:rPr>
      <w:b/>
      <w:bCs/>
      <w:i w:val="0"/>
      <w:iCs w:val="0"/>
      <w:u w:val="none"/>
      <w:strike w:val="0"/>
      <w:smallCaps w:val="0"/>
      <w:sz w:val="23"/>
      <w:szCs w:val="23"/>
      <w:rFonts w:ascii="Sylfaen" w:eastAsia="Sylfaen" w:hAnsi="Sylfaen" w:cs="Sylfaen"/>
    </w:rPr>
  </w:style>
  <w:style w:type="character" w:customStyle="1" w:styleId="CharStyle10">
    <w:name w:val="Підпис до таблиці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2"/>
      <w:szCs w:val="22"/>
      <w:rFonts w:ascii="Sylfaen" w:eastAsia="Sylfaen" w:hAnsi="Sylfaen" w:cs="Sylfaen"/>
    </w:rPr>
  </w:style>
  <w:style w:type="character" w:customStyle="1" w:styleId="CharStyle12">
    <w:name w:val="Основний текст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3">
    <w:name w:val="Основний текст (2) + Sylfaen,11 pt"/>
    <w:basedOn w:val="CharStyle12"/>
    <w:rPr>
      <w:lang w:val="uk-UA" w:eastAsia="uk-UA" w:bidi="uk-UA"/>
      <w:sz w:val="22"/>
      <w:szCs w:val="22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14">
    <w:name w:val="Основний текст (2) + Sylfaen,11,5 pt,Напівжирний"/>
    <w:basedOn w:val="CharStyle12"/>
    <w:rPr>
      <w:lang w:val="uk-UA" w:eastAsia="uk-UA" w:bidi="uk-UA"/>
      <w:b/>
      <w:bCs/>
      <w:sz w:val="23"/>
      <w:szCs w:val="23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15">
    <w:name w:val="Основний текст (3) + 11,5 pt,Напівжирний"/>
    <w:basedOn w:val="CharStyle5"/>
    <w:rPr>
      <w:lang w:val="uk-UA" w:eastAsia="uk-UA" w:bidi="uk-UA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17">
    <w:name w:val="Основний текст (6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8"/>
      <w:szCs w:val="18"/>
      <w:rFonts w:ascii="Sylfaen" w:eastAsia="Sylfaen" w:hAnsi="Sylfaen" w:cs="Sylfaen"/>
    </w:rPr>
  </w:style>
  <w:style w:type="paragraph" w:customStyle="1" w:styleId="Style3">
    <w:name w:val="Основний текст (3)"/>
    <w:basedOn w:val="Normal"/>
    <w:link w:val="CharStyle5"/>
    <w:pPr>
      <w:widowControl w:val="0"/>
      <w:shd w:val="clear" w:color="auto" w:fill="FFFFFF"/>
      <w:spacing w:line="27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Sylfaen" w:eastAsia="Sylfaen" w:hAnsi="Sylfaen" w:cs="Sylfaen"/>
    </w:rPr>
  </w:style>
  <w:style w:type="paragraph" w:customStyle="1" w:styleId="Style6">
    <w:name w:val="Основний текст (4)"/>
    <w:basedOn w:val="Normal"/>
    <w:link w:val="CharStyle7"/>
    <w:pPr>
      <w:widowControl w:val="0"/>
      <w:shd w:val="clear" w:color="auto" w:fill="FFFFFF"/>
      <w:jc w:val="center"/>
      <w:spacing w:line="274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Sylfaen" w:eastAsia="Sylfaen" w:hAnsi="Sylfaen" w:cs="Sylfaen"/>
    </w:rPr>
  </w:style>
  <w:style w:type="paragraph" w:customStyle="1" w:styleId="Style9">
    <w:name w:val="Підпис до таблиці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Sylfaen" w:eastAsia="Sylfaen" w:hAnsi="Sylfaen" w:cs="Sylfaen"/>
    </w:rPr>
  </w:style>
  <w:style w:type="paragraph" w:customStyle="1" w:styleId="Style11">
    <w:name w:val="Основний текст (2)"/>
    <w:basedOn w:val="Normal"/>
    <w:link w:val="CharStyle12"/>
    <w:pPr>
      <w:widowControl w:val="0"/>
      <w:shd w:val="clear" w:color="auto" w:fill="FFFFFF"/>
      <w:jc w:val="center"/>
      <w:spacing w:after="480" w:line="518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6">
    <w:name w:val="Основний текст (6)"/>
    <w:basedOn w:val="Normal"/>
    <w:link w:val="CharStyle17"/>
    <w:pPr>
      <w:widowControl w:val="0"/>
      <w:shd w:val="clear" w:color="auto" w:fill="FFFFFF"/>
      <w:spacing w:before="300" w:after="30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Sylfaen" w:eastAsia="Sylfaen" w:hAnsi="Sylfaen" w:cs="Sylfae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