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Львівський національний університет імені Івана Франка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</w:r>
    </w:p>
    <w:p>
      <w:pPr>
        <w:pStyle w:val="Normal"/>
        <w:spacing w:lineRule="auto" w:line="240" w:before="60" w:after="6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Показники наукової діяльності юридичного факультету за 2022 рік</w:t>
      </w:r>
    </w:p>
    <w:p>
      <w:pPr>
        <w:pStyle w:val="Normal"/>
        <w:spacing w:lineRule="auto" w:line="240" w:before="60" w:after="6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tbl>
      <w:tblPr>
        <w:tblW w:w="14245" w:type="dxa"/>
        <w:jc w:val="left"/>
        <w:tblInd w:w="-43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17"/>
        <w:gridCol w:w="993"/>
        <w:gridCol w:w="993"/>
        <w:gridCol w:w="997"/>
        <w:gridCol w:w="992"/>
        <w:gridCol w:w="991"/>
        <w:gridCol w:w="1134"/>
        <w:gridCol w:w="993"/>
        <w:gridCol w:w="850"/>
        <w:gridCol w:w="993"/>
        <w:gridCol w:w="990"/>
      </w:tblGrid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Всього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ф-ту</w:t>
            </w:r>
          </w:p>
        </w:tc>
        <w:tc>
          <w:tcPr>
            <w:tcW w:w="893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Кафедри</w:t>
            </w:r>
          </w:p>
        </w:tc>
      </w:tr>
      <w:tr>
        <w:trPr/>
        <w:tc>
          <w:tcPr>
            <w:tcW w:w="43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7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теорії та філософії права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історії держави, права та політико-правових учень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кримі</w:t>
              <w:softHyphen/>
              <w:t>нального права і криміно</w:t>
              <w:softHyphen/>
              <w:t>логії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кримі</w:t>
              <w:softHyphen/>
              <w:t>нального процесу і кримі</w:t>
              <w:softHyphen/>
              <w:t>налістики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цивільного права та процесу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pacing w:val="-1"/>
                <w:w w:val="100"/>
                <w:kern w:val="2"/>
                <w:sz w:val="20"/>
                <w:szCs w:val="20"/>
                <w:lang w:eastAsia="ru-RU"/>
                <w:eastAsianLayout w:combine="true"/>
              </w:rPr>
            </w:pPr>
            <w:r>
              <w:rPr>
                <w:rFonts w:eastAsia="Times New Roman" w:cs="Times New Roman" w:ascii="Times New Roman" w:hAnsi="Times New Roman"/>
                <w:spacing w:val="-1"/>
                <w:w w:val="100"/>
                <w:kern w:val="2"/>
                <w:sz w:val="20"/>
                <w:szCs w:val="20"/>
                <w:lang w:eastAsia="ru-RU"/>
                <w:eastAsianLayout w:combine="tru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pacing w:val="-1"/>
                <w:w w:val="100"/>
                <w:kern w:val="2"/>
                <w:sz w:val="20"/>
                <w:szCs w:val="20"/>
                <w:lang w:eastAsia="ru-RU"/>
                <w:eastAsianLayout w:combine="true"/>
              </w:rPr>
            </w:pPr>
            <w:r>
              <w:rPr>
                <w:rFonts w:eastAsia="Times New Roman" w:cs="Times New Roman" w:ascii="Times New Roman" w:hAnsi="Times New Roman"/>
                <w:spacing w:val="-1"/>
                <w:w w:val="100"/>
                <w:kern w:val="2"/>
                <w:sz w:val="20"/>
                <w:szCs w:val="20"/>
                <w:lang w:eastAsia="ru-RU"/>
                <w:eastAsianLayout w:combine="true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7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pacing w:val="-1"/>
                <w:w w:val="100"/>
                <w:kern w:val="2"/>
                <w:sz w:val="20"/>
                <w:szCs w:val="20"/>
                <w:lang w:eastAsia="ru-RU"/>
                <w:eastAsianLayout w:combine="true"/>
              </w:rPr>
            </w:pPr>
            <w:r>
              <w:rPr>
                <w:rFonts w:eastAsia="Times New Roman" w:cs="Times New Roman" w:ascii="Times New Roman" w:hAnsi="Times New Roman"/>
                <w:spacing w:val="-1"/>
                <w:w w:val="100"/>
                <w:kern w:val="2"/>
                <w:sz w:val="20"/>
                <w:szCs w:val="20"/>
                <w:lang w:eastAsia="ru-RU"/>
                <w:eastAsianLayout w:combine="true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конститу</w:t>
              <w:softHyphen/>
              <w:t xml:space="preserve">ційного права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адмініс</w:t>
              <w:softHyphen/>
              <w:t>тративного та фінан</w:t>
              <w:softHyphen/>
              <w:t>сового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соціального права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інтелектуальної власності, інформаційного та корпоративного права</w:t>
            </w:r>
          </w:p>
        </w:tc>
      </w:tr>
      <w:tr>
        <w:trPr/>
        <w:tc>
          <w:tcPr>
            <w:tcW w:w="43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227" w:hRule="atLeast"/>
          <w:cantSplit w:val="true"/>
        </w:trPr>
        <w:tc>
          <w:tcPr>
            <w:tcW w:w="142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Забезпечення кадрами</w:t>
            </w:r>
          </w:p>
        </w:tc>
      </w:tr>
      <w:tr>
        <w:trPr/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К-сть ставок / к-сть викладачів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137,75/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14,25/15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9,25/11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15,75/17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18,75/27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27,5/36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11/14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13,75/16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18,75/22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8,75/11</w:t>
            </w:r>
          </w:p>
        </w:tc>
      </w:tr>
      <w:tr>
        <w:trPr/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зокрема − докторів наук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</w:tr>
      <w:tr>
        <w:trPr/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907"/>
              <w:jc w:val="both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кандидатів наук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 xml:space="preserve">110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</w:tc>
      </w:tr>
      <w:tr>
        <w:trPr>
          <w:cantSplit w:val="true"/>
        </w:trPr>
        <w:tc>
          <w:tcPr>
            <w:tcW w:w="14243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Підготовка кадрів (станом на 31.10.2022 р.)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К-сть працівників, які захистили докторські дисертації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К-сть працівників, які захистили кандидатські дисертації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4 (4**)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К-сть докторантів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К-сть захистів випускниками докторантури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0"/>
                <w:szCs w:val="24"/>
                <w:lang w:eastAsia="ru-RU"/>
              </w:rPr>
              <w:t>К-сть аспірантів (денна / заочна форма навчання)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(68/67)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(3/2)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 xml:space="preserve">8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(3/5)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(6/4)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(10/12)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(9/5)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 xml:space="preserve">16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(8/8)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(8/16)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(9/7)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 xml:space="preserve">20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(12/8)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К-сть випускників аспірантури, які у 2022 р. захистили дисертації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(7+4*)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 (1+1*)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зокрема − випуск 2022 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ind w:firstLine="90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випуск 2021 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ind w:firstLine="90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випуск 2017-2020 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К-сть випускників аспірантури, які не захистили дисертації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зокрема − випуск 2022 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ind w:firstLine="90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випуск 2021 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ind w:firstLine="90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випуск 2017-2020 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</w:tr>
      <w:tr>
        <w:trPr/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К-сть здобувачів / к-сть захистів здобувачами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*- співробітники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** - випускники аспірантури (докторантури)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</w:r>
    </w:p>
    <w:tbl>
      <w:tblPr>
        <w:tblW w:w="14245" w:type="dxa"/>
        <w:jc w:val="left"/>
        <w:tblInd w:w="-5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23"/>
        <w:gridCol w:w="849"/>
        <w:gridCol w:w="142"/>
        <w:gridCol w:w="993"/>
        <w:gridCol w:w="993"/>
        <w:gridCol w:w="992"/>
        <w:gridCol w:w="991"/>
        <w:gridCol w:w="1134"/>
        <w:gridCol w:w="993"/>
        <w:gridCol w:w="850"/>
        <w:gridCol w:w="993"/>
        <w:gridCol w:w="990"/>
      </w:tblGrid>
      <w:tr>
        <w:trPr/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cantSplit w:val="true"/>
        </w:trPr>
        <w:tc>
          <w:tcPr>
            <w:tcW w:w="142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Публікації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Монографії (к-сть / друк. арк.)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12/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2,7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Підручники (к-сть / друк. арк.)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 xml:space="preserve">2/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1,8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Навчальні посібники (к-сть / друк. арк.)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 xml:space="preserve">4/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78,35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0,1/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0,1/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0,2/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0,2/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1,2/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0,2/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9,4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Статті (к-сть)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зокрема − у виданнях, які мають імпакт-фактор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інших виданнях, які включені до міжнародних наукометричних баз даних Web of Science, Scopus та інших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інших закордонних виданнях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 фахових виданнях України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інших виданнях України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Інші наукові видання (к-сть)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>
          <w:cantSplit w:val="true"/>
        </w:trPr>
        <w:tc>
          <w:tcPr>
            <w:tcW w:w="14243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Конференції</w:t>
            </w:r>
          </w:p>
        </w:tc>
      </w:tr>
      <w:tr>
        <w:trPr/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Проведено конференцій (к-сть)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Тези доповідей на міжнародних конференціях (к-сть)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4</w:t>
            </w:r>
          </w:p>
        </w:tc>
      </w:tr>
      <w:tr>
        <w:trPr/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Тези доповідей на вітчизняних конференціях (к-сть)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13</w:t>
            </w:r>
          </w:p>
        </w:tc>
      </w:tr>
      <w:tr>
        <w:trPr/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К-сть виїздів наукових працівників за межі України для участі у міжнарод. конференціях, семінарах тощо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>
          <w:cantSplit w:val="true"/>
        </w:trPr>
        <w:tc>
          <w:tcPr>
            <w:tcW w:w="142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Студентська наукова робота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К-сть студентів, які взяли участь в олімпіаді (перший / другий етапи)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Одержано нагород на другому етапі / к-сть студентів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К-сть студентів − переможців конкурсу студентських робіт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</w:t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К-сть доповідей на конференціях / зокрема на міжнародних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308/271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К-сть опублікованих статей студентами / зокрема − самостійно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6/3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К-сть опублікованих тез студентами / зокрема − самостійно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  <w:t>306/306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5840" w:h="12240"/>
      <w:pgMar w:left="1440" w:right="1440" w:gutter="0" w:header="0" w:top="628" w:footer="0" w:bottom="71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5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Heading1Char"/>
    <w:uiPriority w:val="9"/>
    <w:qFormat/>
    <w:rsid w:val="00525dc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en-UA"/>
    </w:rPr>
  </w:style>
  <w:style w:type="paragraph" w:styleId="2">
    <w:name w:val="Heading 2"/>
    <w:basedOn w:val="Normal"/>
    <w:next w:val="Normal"/>
    <w:link w:val="Heading2Char"/>
    <w:uiPriority w:val="9"/>
    <w:semiHidden/>
    <w:unhideWhenUsed/>
    <w:qFormat/>
    <w:rsid w:val="00f757a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semiHidden/>
    <w:unhideWhenUsed/>
    <w:qFormat/>
    <w:rsid w:val="00f757a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5">
    <w:name w:val="Heading 5"/>
    <w:basedOn w:val="Normal"/>
    <w:next w:val="Normal"/>
    <w:link w:val="Heading5Char"/>
    <w:uiPriority w:val="9"/>
    <w:semiHidden/>
    <w:unhideWhenUsed/>
    <w:qFormat/>
    <w:rsid w:val="00f757a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Гіперпосилання"/>
    <w:basedOn w:val="DefaultParagraphFont"/>
    <w:uiPriority w:val="99"/>
    <w:unhideWhenUsed/>
    <w:rsid w:val="00525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25dc3"/>
    <w:rPr>
      <w:color w:val="605E5C"/>
      <w:shd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525dc3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NoSpacingChar" w:customStyle="1">
    <w:name w:val="No Spacing Char"/>
    <w:link w:val="NoSpacing"/>
    <w:uiPriority w:val="1"/>
    <w:qFormat/>
    <w:locked/>
    <w:rsid w:val="007f5508"/>
    <w:rPr>
      <w:rFonts w:ascii="Times New Roman" w:hAnsi="Times New Roman" w:eastAsia="MS Mincho" w:cs="Times New Roman"/>
      <w:sz w:val="28"/>
      <w:szCs w:val="22"/>
      <w:lang w:val="ru-RU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757a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val="uk-UA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f757a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val="uk-UA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757a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2"/>
      <w:szCs w:val="22"/>
      <w:lang w:val="uk-UA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25d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A"/>
    </w:rPr>
  </w:style>
  <w:style w:type="paragraph" w:styleId="Spalvotassraas1parykinimas1" w:customStyle="1">
    <w:name w:val="Spalvotas sąraas – 1 parykinimas1"/>
    <w:basedOn w:val="Normal"/>
    <w:uiPriority w:val="99"/>
    <w:qFormat/>
    <w:rsid w:val="00eb05a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5508"/>
    <w:pPr>
      <w:spacing w:lineRule="auto" w:line="240" w:before="0" w:after="0"/>
      <w:ind w:left="720" w:hanging="0"/>
      <w:contextualSpacing/>
    </w:pPr>
    <w:rPr>
      <w:rFonts w:ascii="Times New Roman" w:hAnsi="Times New Roman" w:eastAsia="MS Mincho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7f5508"/>
    <w:pPr>
      <w:widowControl/>
      <w:bidi w:val="0"/>
      <w:spacing w:before="0" w:after="0"/>
      <w:ind w:firstLine="709"/>
      <w:jc w:val="both"/>
    </w:pPr>
    <w:rPr>
      <w:rFonts w:ascii="Times New Roman" w:hAnsi="Times New Roman" w:eastAsia="MS Mincho" w:cs="Times New Roman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b05a9"/>
    <w:rPr>
      <w:lang w:val="uk-U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D4F786-5A42-4E46-9532-E7FA43E4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LibreOffice/7.2.1.2$Windows_X86_64 LibreOffice_project/87b77fad49947c1441b67c559c339af8f3517e22</Application>
  <AppVersion>15.0000</AppVersion>
  <Pages>3</Pages>
  <Words>688</Words>
  <Characters>2620</Characters>
  <CharactersWithSpaces>2865</CharactersWithSpaces>
  <Paragraphs>454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2021-08-13T11:59:00Z</dcterms:created>
  <dc:creator>Microsoft Office User</dc:creator>
  <dc:description/>
  <dc:language>uk-UA</dc:language>
  <cp:lastModifiedBy>Роман Шандра</cp:lastModifiedBy>
  <dcterms:modified xsi:type="dcterms:W3CDTF">2022-11-30T11:33:00Z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