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0" w:after="120"/>
        <w:jc w:val="center"/>
        <w:rPr>
          <w:lang w:val="uk-UA"/>
        </w:rPr>
      </w:pPr>
      <w:r>
        <w:rPr>
          <w:b/>
          <w:lang w:val="uk-UA"/>
        </w:rPr>
        <w:t>Показники наукової діяльності факультету прикладної математики та інформатики у 2023 році</w:t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56"/>
        <w:gridCol w:w="849"/>
        <w:gridCol w:w="1268"/>
        <w:gridCol w:w="1266"/>
        <w:gridCol w:w="1154"/>
        <w:gridCol w:w="1557"/>
        <w:gridCol w:w="1137"/>
        <w:gridCol w:w="1223"/>
        <w:gridCol w:w="1268"/>
        <w:gridCol w:w="1262"/>
      </w:tblGrid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2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Всього</w:t>
            </w:r>
          </w:p>
        </w:tc>
        <w:tc>
          <w:tcPr>
            <w:tcW w:w="1013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Кафедри</w:t>
            </w:r>
          </w:p>
        </w:tc>
      </w:tr>
      <w:tr>
        <w:trPr/>
        <w:tc>
          <w:tcPr>
            <w:tcW w:w="3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по ф-ту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обчислю-вальної ма-тематики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прикладної математики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теорії оп-тимальних процесів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математичного моделювання соціально-економічних процесів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програмування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інформа-ційних систем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дискретного аналізу та ін-телектуаль</w:t>
              <w:softHyphen/>
              <w:t>них систем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кібербезпеки</w:t>
            </w:r>
          </w:p>
        </w:tc>
      </w:tr>
      <w:tr>
        <w:trPr/>
        <w:tc>
          <w:tcPr>
            <w:tcW w:w="3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Забезпечення кадрами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ставок / к-сть науково-педагогічних працівників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108,25/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127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9/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val="en-US"/>
              </w:rPr>
              <w:t>10</w:t>
            </w:r>
            <w:r>
              <w:rPr>
                <w:caps/>
                <w:sz w:val="18"/>
                <w:szCs w:val="18"/>
              </w:rPr>
              <w:t>,5/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12,75/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  <w:lang w:val="en-US"/>
              </w:rPr>
            </w:pPr>
            <w:r>
              <w:rPr>
                <w:caps/>
                <w:sz w:val="18"/>
                <w:szCs w:val="18"/>
              </w:rPr>
              <w:t>16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11,25/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  <w:lang w:val="en-US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24, 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26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10,25/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16/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14</w:t>
            </w:r>
            <w:r>
              <w:rPr>
                <w:caps/>
                <w:sz w:val="18"/>
                <w:szCs w:val="18"/>
                <w:lang w:val="en-US"/>
              </w:rPr>
              <w:t>/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23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"/>
              <w:keepNext w:val="false"/>
              <w:widowControl w:val="false"/>
              <w:numPr>
                <w:ilvl w:val="0"/>
                <w:numId w:val="0"/>
              </w:numPr>
              <w:ind w:left="0"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кандидатів наук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highlight w:val="yellow"/>
              </w:rPr>
            </w:pPr>
            <w:r>
              <w:rPr>
                <w:caps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ставок / к-сть штатних наукових працівників НДЧ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"/>
              <w:keepNext w:val="false"/>
              <w:widowControl w:val="false"/>
              <w:numPr>
                <w:ilvl w:val="0"/>
                <w:numId w:val="0"/>
              </w:numPr>
              <w:ind w:left="0"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кандидатів наук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Підготовка кадрів (станом на 15.11.2023 р.)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працівників, які захистили докторські дисертації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aps/>
                <w:sz w:val="20"/>
                <w:szCs w:val="20"/>
                <w:lang w:val="en-US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працівників, які захистили кандидатські дисертації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cap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докторантів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захистів випускниками докторантури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аспірантів (денна/заочна форма навчання)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випускників аспірантури, які у 2023 р. захистили дисертації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випуск 2023 р.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ind w:firstLine="9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випуск 2022 р.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>
                <w:lang w:val="uk-UA"/>
              </w:rPr>
            </w:pPr>
            <w:r>
              <w:rPr>
                <w:lang w:val="uk-UA"/>
              </w:rPr>
              <w:t>випуски 2019р. та попер. років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випускників аспірантури, які не захистили дисертації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випуск 2023 р.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ind w:firstLine="9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випуск 2022 р.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>
                <w:lang w:val="uk-UA"/>
              </w:rPr>
            </w:pPr>
            <w:r>
              <w:rPr>
                <w:lang w:val="uk-UA"/>
              </w:rPr>
              <w:t>випуски 2019р. та попер. років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здобувачів / к-сть захистів здобув.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Фінансування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Держбюджет − 2201040 (к-сть тем/обсяг)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Держбюджет – інші (к-сть тем / обсяг)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Госпдоговір (к-сть тем / обсяг)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Колективні ґранти (к-сть/обсяг)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</w:tbl>
    <w:p>
      <w:pPr>
        <w:pStyle w:val="Normal"/>
        <w:spacing w:lineRule="auto" w:line="259" w:before="0" w:after="16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0"/>
        <w:gridCol w:w="1097"/>
        <w:gridCol w:w="1275"/>
        <w:gridCol w:w="1303"/>
        <w:gridCol w:w="1054"/>
        <w:gridCol w:w="1053"/>
        <w:gridCol w:w="1053"/>
        <w:gridCol w:w="1182"/>
        <w:gridCol w:w="1184"/>
        <w:gridCol w:w="1179"/>
      </w:tblGrid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pageBreakBefore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Публікації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Монографії (к-сть / друк.арк.)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1/8,3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2/5,2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Підручники (к-сть / друк.арк.)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14</w:t>
            </w:r>
            <w:r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1/11,6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1/3,3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Навчальні посібники (к-сть / друк.арк.)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val="uk-UA" w:eastAsia="ru-RU"/>
              </w:rPr>
              <w:t>5/32,5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1/20,3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3/9,7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  <w:lang w:val="uk-UA"/>
              </w:rPr>
            </w:pPr>
            <w:r>
              <w:rPr>
                <w:b w:val="false"/>
                <w:sz w:val="20"/>
                <w:lang w:val="uk-UA"/>
              </w:rPr>
              <w:t>Статті (к-сть)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19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12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7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16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14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</w:rPr>
              <w:t>21</w:t>
            </w:r>
            <w:r>
              <w:rPr>
                <w:caps/>
                <w:sz w:val="18"/>
                <w:szCs w:val="18"/>
                <w:lang w:val="en-US"/>
              </w:rPr>
              <w:t xml:space="preserve"> (</w:t>
            </w:r>
            <w:r>
              <w:rPr>
                <w:caps/>
                <w:sz w:val="18"/>
                <w:szCs w:val="18"/>
              </w:rPr>
              <w:t>10</w:t>
            </w:r>
            <w:r>
              <w:rPr>
                <w:caps/>
                <w:sz w:val="18"/>
                <w:szCs w:val="18"/>
                <w:lang w:val="en-US"/>
              </w:rPr>
              <w:t>+</w:t>
            </w:r>
            <w:r>
              <w:rPr>
                <w:caps/>
                <w:sz w:val="18"/>
                <w:szCs w:val="18"/>
              </w:rPr>
              <w:t>11</w:t>
            </w:r>
            <w:r>
              <w:rPr>
                <w:caps/>
                <w:sz w:val="18"/>
                <w:szCs w:val="18"/>
                <w:lang w:val="en-US"/>
              </w:rPr>
              <w:t>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14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9</w:t>
            </w:r>
            <w:r>
              <w:rPr>
                <w:caps/>
                <w:sz w:val="20"/>
                <w:szCs w:val="20"/>
                <w:lang w:val="en-US"/>
              </w:rPr>
              <w:t>+5*)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  <w:lang w:val="en-US"/>
              </w:rPr>
              <w:t xml:space="preserve"> (1</w:t>
            </w: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+4*)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21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18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0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>+1*)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зокрема: − у виданнях, які мають імпакт-фактор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7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2 (1+1*)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 (4+1*)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2*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1*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інших виданнях, які включені до міжнародних наукометр. баз даних W</w:t>
            </w:r>
            <w:r>
              <w:rPr>
                <w:sz w:val="20"/>
                <w:szCs w:val="20"/>
                <w:lang w:val="en-US"/>
              </w:rPr>
              <w:t>oS</w:t>
            </w:r>
            <w:r>
              <w:rPr>
                <w:sz w:val="20"/>
                <w:szCs w:val="20"/>
              </w:rPr>
              <w:t>, Scopus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 (3+2*)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3 (1+2</w:t>
            </w:r>
            <w:r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+1*)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6 (5+1*)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+1*)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+2*)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 xml:space="preserve"> (</w:t>
            </w: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9 (6+3*)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 (3+2*)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4 (3+1*)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Інші наукові видання (к-сть)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Конференції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Проведено конференцій (к-сть)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2(1+</w:t>
            </w:r>
            <w:r>
              <w:rPr>
                <w:caps/>
                <w:sz w:val="20"/>
                <w:szCs w:val="20"/>
              </w:rPr>
              <w:t>1***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1*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1*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  <w:lang w:val="uk-UA"/>
              </w:rPr>
            </w:pPr>
            <w:r>
              <w:rPr>
                <w:b w:val="false"/>
                <w:sz w:val="20"/>
                <w:lang w:val="uk-UA"/>
              </w:rPr>
              <w:t>Тези доповідей на міжнародних конференціях (к-сть)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 (4+1*)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11 (10+1*)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9 (6+3*)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3 (1+2*)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12 (11+1*)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5 (2+3*)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2*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Тези доповідей на вітчизняних конференціях (к-сть)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1*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 (1+1*)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виїздів наук. працівників за межі України для участі у міжн. конференціях, семінарах тощо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Патентно-ліцензійна діяльність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одержаних патентів / зокрема університет – співвласник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>
        <w:trPr/>
        <w:tc>
          <w:tcPr>
            <w:tcW w:w="14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  <w:lang w:val="uk-UA"/>
              </w:rPr>
            </w:pPr>
            <w:r>
              <w:rPr>
                <w:b w:val="false"/>
                <w:color w:val="auto"/>
                <w:lang w:val="uk-UA"/>
              </w:rPr>
              <w:t>Студентська наукова робота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студентів, які взяли участь у виконанні НДР з оплатою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4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держбюджетних / госпдоговірних</w:t>
            </w:r>
          </w:p>
        </w:tc>
        <w:tc>
          <w:tcPr>
            <w:tcW w:w="10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0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0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0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студентів, які взяли участь в олімпіаді (перший / другий етапи)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21/12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21/12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Одержано нагород на другому етапі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/ к-сть студентів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студентів− переможців конкурсу студентських наукових робіт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доповідей на конференціях / зокрема на міжнародних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39/0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опублікованих статей студентами / зокрема самостійно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  <w:r>
              <w:rPr>
                <w:caps/>
                <w:sz w:val="20"/>
                <w:szCs w:val="20"/>
              </w:rPr>
              <w:t>/0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4/</w:t>
            </w: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2/0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К-сть опублікованих тез студентами / зокрема − самостійно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</w:rPr>
              <w:t>39/18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  <w:r>
              <w:rPr>
                <w:caps/>
                <w:sz w:val="20"/>
                <w:szCs w:val="20"/>
              </w:rPr>
              <w:t>/3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  <w:r>
              <w:rPr>
                <w:caps/>
                <w:sz w:val="20"/>
                <w:szCs w:val="20"/>
              </w:rPr>
              <w:t>/2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>
              <w:rPr>
                <w:caps/>
                <w:sz w:val="20"/>
                <w:szCs w:val="20"/>
              </w:rPr>
              <w:t>/2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  <w:r>
              <w:rPr>
                <w:caps/>
                <w:sz w:val="20"/>
                <w:szCs w:val="20"/>
              </w:rPr>
              <w:t>/2</w:t>
            </w:r>
          </w:p>
        </w:tc>
      </w:tr>
    </w:tbl>
    <w:p>
      <w:pPr>
        <w:pStyle w:val="2"/>
        <w:widowControl/>
        <w:ind w:left="360" w:hanging="0"/>
        <w:rPr>
          <w:lang w:val="uk-UA"/>
        </w:rPr>
      </w:pPr>
      <w:r>
        <w:rPr>
          <w:lang w:val="uk-UA"/>
        </w:rPr>
        <w:t>* - міжкафедральні статті;     ** - міжкафедральні тези доповідей;    *** - звітна конференція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В.о. декана факультету прикладної математики та інформатики</w:t>
        <w:tab/>
        <w:tab/>
        <w:tab/>
        <w:tab/>
        <w:tab/>
        <w:tab/>
        <w:tab/>
        <w:tab/>
        <w:tab/>
        <w:tab/>
        <w:t>І.І. Дияк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orient="landscape" w:w="16838" w:h="11906"/>
      <w:pgMar w:left="851" w:right="567" w:gutter="0" w:header="284" w:top="567" w:footer="284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d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Style15" w:customStyle="1">
    <w:name w:val="Верхній колонтитул Знак"/>
    <w:basedOn w:val="DefaultParagraphFont"/>
    <w:link w:val="a5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qFormat/>
    <w:rsid w:val="006d1d5d"/>
    <w:rPr/>
  </w:style>
  <w:style w:type="character" w:styleId="Style16" w:customStyle="1">
    <w:name w:val="Нижній колонтитул Знак"/>
    <w:basedOn w:val="DefaultParagraphFont"/>
    <w:link w:val="a8"/>
    <w:qFormat/>
    <w:rsid w:val="006d1d5d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7" w:customStyle="1">
    <w:name w:val="Текст у виносці Знак"/>
    <w:basedOn w:val="DefaultParagraphFont"/>
    <w:link w:val="aa"/>
    <w:uiPriority w:val="99"/>
    <w:semiHidden/>
    <w:qFormat/>
    <w:rsid w:val="00c81287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6d1d5d"/>
    <w:pPr>
      <w:spacing w:before="0" w:after="120"/>
    </w:pPr>
    <w:rPr>
      <w:lang w:eastAsia="uk-U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Звичайний1"/>
    <w:qFormat/>
    <w:rsid w:val="006d1d5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6d1d5d"/>
    <w:pPr>
      <w:tabs>
        <w:tab w:val="clear" w:pos="708"/>
        <w:tab w:val="center" w:pos="4819" w:leader="none"/>
        <w:tab w:val="right" w:pos="9639" w:leader="none"/>
      </w:tabs>
    </w:pPr>
    <w:rPr>
      <w:lang w:val="ru-RU"/>
    </w:rPr>
  </w:style>
  <w:style w:type="paragraph" w:styleId="Style25">
    <w:name w:val="Footer"/>
    <w:basedOn w:val="Normal"/>
    <w:link w:val="a9"/>
    <w:unhideWhenUsed/>
    <w:rsid w:val="006d1d5d"/>
    <w:pPr>
      <w:tabs>
        <w:tab w:val="clear" w:pos="708"/>
        <w:tab w:val="center" w:pos="4819" w:leader="none"/>
        <w:tab w:val="right" w:pos="9639" w:leader="none"/>
      </w:tabs>
    </w:pPr>
    <w:rPr>
      <w:sz w:val="20"/>
      <w:szCs w:val="20"/>
      <w:lang w:val="ru-RU"/>
    </w:rPr>
  </w:style>
  <w:style w:type="paragraph" w:styleId="Normal1" w:customStyle="1">
    <w:name w:val="Normal1"/>
    <w:uiPriority w:val="99"/>
    <w:qFormat/>
    <w:rsid w:val="006d1d5d"/>
    <w:pPr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" w:customStyle="1">
    <w:name w:val="Заголовок 21"/>
    <w:basedOn w:val="1"/>
    <w:next w:val="1"/>
    <w:qFormat/>
    <w:rsid w:val="006d1d5d"/>
    <w:pPr>
      <w:keepNext w:val="true"/>
      <w:widowControl/>
      <w:jc w:val="center"/>
    </w:pPr>
    <w:rPr>
      <w:b/>
      <w:caps/>
      <w:sz w:val="24"/>
    </w:rPr>
  </w:style>
  <w:style w:type="paragraph" w:styleId="31" w:customStyle="1">
    <w:name w:val="Заголовок 31"/>
    <w:basedOn w:val="1"/>
    <w:next w:val="1"/>
    <w:qFormat/>
    <w:rsid w:val="006d1d5d"/>
    <w:pPr>
      <w:keepNext w:val="true"/>
      <w:widowControl/>
      <w:jc w:val="both"/>
    </w:pPr>
    <w:rPr>
      <w:b/>
      <w:caps/>
      <w:sz w:val="26"/>
    </w:rPr>
  </w:style>
  <w:style w:type="paragraph" w:styleId="41" w:customStyle="1">
    <w:name w:val="Заголовок 41"/>
    <w:basedOn w:val="1"/>
    <w:next w:val="1"/>
    <w:qFormat/>
    <w:rsid w:val="006d1d5d"/>
    <w:pPr>
      <w:keepNext w:val="true"/>
      <w:widowControl/>
      <w:spacing w:before="60" w:after="60"/>
      <w:jc w:val="center"/>
      <w:outlineLvl w:val="3"/>
    </w:pPr>
    <w:rPr>
      <w:b/>
      <w:color w:val="000000"/>
      <w:lang w:val="hu-HU"/>
    </w:rPr>
  </w:style>
  <w:style w:type="paragraph" w:styleId="Ira" w:customStyle="1">
    <w:name w:val="ira"/>
    <w:basedOn w:val="1"/>
    <w:next w:val="1"/>
    <w:qFormat/>
    <w:rsid w:val="006d1d5d"/>
    <w:pPr>
      <w:widowControl/>
      <w:spacing w:lineRule="auto" w:line="360" w:before="240" w:after="240"/>
      <w:ind w:firstLine="567"/>
      <w:jc w:val="center"/>
    </w:pPr>
    <w:rPr>
      <w:b/>
      <w:sz w:val="32"/>
      <w:lang w:val="hu-HU"/>
    </w:rPr>
  </w:style>
  <w:style w:type="paragraph" w:styleId="2" w:customStyle="1">
    <w:name w:val="Звичайний2"/>
    <w:qFormat/>
    <w:rsid w:val="00392df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c81287"/>
    <w:pPr/>
    <w:rPr>
      <w:rFonts w:ascii="Segoe UI" w:hAnsi="Segoe UI" w:cs="Segoe UI"/>
      <w:sz w:val="18"/>
      <w:szCs w:val="18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Application>LibreOffice/7.2.1.2$Windows_X86_64 LibreOffice_project/87b77fad49947c1441b67c559c339af8f3517e22</Application>
  <AppVersion>15.0000</AppVersion>
  <Pages>3</Pages>
  <Words>815</Words>
  <Characters>3095</Characters>
  <CharactersWithSpaces>3432</CharactersWithSpaces>
  <Paragraphs>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2020-10-23T15:16:00Z</dcterms:created>
  <dc:creator>Iryna Pavlusyk</dc:creator>
  <dc:description/>
  <dc:language>uk-UA</dc:language>
  <cp:lastModifiedBy/>
  <cp:lastPrinted>2023-12-04T14:17:00Z</cp:lastPrinted>
  <dcterms:modified xsi:type="dcterms:W3CDTF">2023-12-08T16:45:20Z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